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ОБ ИСТРЕБОВАНИИ ИМУЩЕСТВА ИЗ ЧУЖОГО НЕЗАКОННОГО ВЛАДЕНИЯ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корпоративного конфликта имущество, денежные средства, права требования, клиентская база, персонал либо исключительные права общества были переданы [аффилированной организации / участнику / руководителю / третьему лицу]. Передача не имела разумной деловой цели и сопровождалась прекращением или существенным сокращением деятельности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Связь участников схемы подтверждается совпадением руководителей, адресов, работников, контактных данных, контрагентов и последовательностью операций. Экономический результат сосредоточен у получателя активов, тогда как общество лишилось источника дохода.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Сделки и действия по выводу активов оцениваются по статьям 10, 53.1, 166–168, 174, 301–302 и 1102 ГК РФ с учётом конкретного способа защиты. Участник вправе действовать в интересах корпорации в случаях, предусмотренных статьёй 65.2 ГК РФ.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 исследует экономическую цель операций, равноценность встречного предоставления, аффилированность, движение денег, фактическое использование активов и возможность их возврата. Способ защиты должен соответствовать характеру нарушения и учитывать права добросовестных приобретателей.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Удовлетворить заявленное требование и восстановить нарушенное корпоративное право истца способом, указанным в исковом заявлении.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Обязать ответчика и соответствующий регистрирующий / учётный орган совершить действия, необходимые для фактического исполнения решения.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Оспариваемый договор и документы его исполнения.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Бухгалтерская отчётность и расчёт стоимости активов.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Отчёт оценщика / заключение специалиста о рыночной стоимости.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12. Документы об аффилированности и движении денежных средств.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