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ОСПАРИВАНИИ ПЕРЕДАЧИ ТОВАРНЫХ ЗНАКОВ И ИНЫХ ИСКЛЮЧИТЕЛЬНЫХ ПРАВ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корпоративного конфликта имущество, денежные средства, права требования, клиентская база, персонал либо исключительные права общества были переданы [аффилированной организации / участнику / руководителю / третьему лицу]. Передача не имела разумной деловой цели и сопровождалась прекращением или существенным сокращением деятельности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Связь участников схемы подтверждается совпадением руководителей, адресов, работников, контактных данных, контрагентов и последовательностью операций. Экономический результат сосредоточен у получателя активов, тогда как общество лишилось источника дохода.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Исключительное право на обозначение, используемое в основном бизнесе общества, передано без независимой оценки и без сохранения лицензии, что лишило общество возможности продолжать деятельность под известным брендом.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Сделки и действия по выводу активов оцениваются по статьям 10, 53.1, 166–168, 174, 301–302 и 1102 ГК РФ с учётом конкретного способа защиты. Участник вправе действовать в интересах корпорации в случаях, предусмотренных статьёй 65.2 ГК РФ.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исследует экономическую цель операций, равноценность встречного предоставления, аффилированность, движение денег, фактическое использование активов и возможность их возврата. Способ защиты должен соответствовать характеру нарушения и учитывать права добросовестных приобретателей.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