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ПЕРЕЧИСЛЕНИЙ В ПОЛЬЗУ АФФИЛИРОВАННОЙ КОМПАНИИ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корпоративного конфликта имущество, денежные средства, права требования, клиентская база, персонал либо исключительные права общества были переданы [аффилированной организации / участнику / руководителю / третьему лицу]. Передача не имела разумной деловой цели и сопровождалась прекращением или существенным сокращением деятельности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Связь участников схемы подтверждается совпадением руководителей, адресов, работников, контактных данных, контрагентов и последовательностью операций. Экономический результат сосредоточен у получателя активов, тогда как общество лишилось источника дохода.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Операции совершались серией платежей с общим назначением и без надлежащих первичных документов. Получатель связан с руководителем и не подтвердил равноценное встречное исполнение.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Сделки и действия по выводу активов оцениваются по статьям 10, 53.1, 166–168, 174, 301–302 и 1102 ГК РФ с учётом конкретного способа защиты. Участник вправе действовать в интересах корпорации в случаях, предусмотренных статьёй 65.2 ГК РФ.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 исследует экономическую цель операций, равноценность встречного предоставления, аффилированность, движение денег, фактическое использование активов и возможность их возврата. Способ защиты должен соответствовать характеру нарушения и учитывать права добросовестных приобретателей.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