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СДЕЛКИ ПО ВЫВОДУ НЕДВИЖИМОГО ИМУЩЕСТВА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Предметом сделки является объект недвижимости с кадастровым номером [___]. После отчуждения объект продолжил использоваться прежними сотрудниками либо был перепродан связанному лицу.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