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ОБ ОСПАРИВАНИИ СДЕЛКИ, СОВЕРШЁННОЙ ДИРЕКТОРОМ С ПРЕВЫШЕНИЕМ ПОЛНОМОЧИЙ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Обществом заключена сделка от «___» _________ 20__ года № [___] с [контрагент]. Стоимость предмета сделки составляет [___] руб., что соответствует [___] % балансовой стоимости активов общества / сделка совершена с лицом, заинтересованным в её совершении.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Необходимое корпоративное согласие не получено либо получено на основании неполной информации. Сделка повлекла неблагоприятные последствия: отчуждение существенного актива, возникновение несоразмерного обязательства, обеспечение чужого долга либо передачу имущества по цене, существенно отклоняющейся от рыночной.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Крупные сделки и сделки с заинтересованностью регулируются статьями 45–46 Закона № 14-ФЗ и статьями 78–84 Закона № 208-ФЗ. Применяются также статьи 173.1 и 174 ГК РФ с учётом специальных условий признания сделки недействительной.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Постановление Пленума Верховного Суда РФ от 26.06.2018 № 27 разъясняет признаки крупной сделки, обычной хозяйственной деятельности, заинтересованности, осведомлённости контрагента и годичный срок исковой давности. Одного отсутствия согласия обычно недостаточно: требуется доказать предусмотренные законом условия и нарушение интересов общества.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недействительным [решение / сделку / регистрационное действие] от «___» _________ 20__ года.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Применить последствия недействительности: восстановить прежнее положение, возвратить имущество / денежные средства, аннулировать записи и корпоративные решения, принятые на основании оспоренного акта.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Оспариваемый договор и документы его исполнения.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Бухгалтерская отчётность и расчёт стоимости активов.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Отчёт оценщика / заключение специалиста о рыночной стоимости.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12. Документы об аффилированности и движении денежных средств.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