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НЕДЕЙСТВИТЕЛЬНОЙ СДЕЛКИ С ЗАИНТЕРЕСОВАННОСТЬЮ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Обществом заключена сделка от «___» _________ 20__ года № [___] с [контрагент]. Стоимость предмета сделки составляет [___] руб., что соответствует [___] % балансовой стоимости активов общества / сделка совершена с лицом, заинтересованным в её совершении.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Необходимое корпоративное согласие не получено либо получено на основании неполной информации. Сделка повлекла неблагоприятные последствия: отчуждение существенного актива, возникновение несоразмерного обязательства, обеспечение чужого долга либо передачу имущества по цене, существенно отклоняющейся от рыночной.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Крупные сделки и сделки с заинтересованностью регулируются статьями 45–46 Закона № 14-ФЗ и статьями 78–84 Закона № 208-ФЗ. Применяются также статьи 173.1 и 174 ГК РФ с учётом специальных условий признания сделки недействительной.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Пленума Верховного Суда РФ от 26.06.2018 № 27 разъясняет признаки крупной сделки, обычной хозяйственной деятельности, заинтересованности, осведомлённости контрагента и годичный срок исковой давности. Одного отсутствия согласия обычно недостаточно: требуется доказать предусмотренные законом условия и нарушение интересов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