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КРУПНОЙ СДЕЛКИ НЕДЕЙСТВИТЕЛЬНОЙ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Обществом заключена сделка от «___» _________ 20__ года № [___] с [контрагент]. Стоимость предмета сделки составляет [___] руб., что соответствует [___] % балансовой стоимости активов общества / сделка совершена с лицом, заинтересованным в её совершении.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Необходимое корпоративное согласие не получено либо получено на основании неполной информации. Сделка повлекла неблагоприятные последствия: отчуждение существенного актива, возникновение несоразмерного обязательства, обеспечение чужого долга либо передачу имущества по цене, существенно отклоняющейся от рыночной.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Крупные сделки и сделки с заинтересованностью регулируются статьями 45–46 Закона № 14-ФЗ и статьями 78–84 Закона № 208-ФЗ. Применяются также статьи 173.1 и 174 ГК РФ с учётом специальных условий признания сделки недействительной.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Пленума Верховного Суда РФ от 26.06.2018 № 27 разъясняет признаки крупной сделки, обычной хозяйственной деятельности, заинтересованности, осведомлённости контрагента и годичный срок исковой давности. Одного отсутствия согласия обычно недостаточно: требуется доказать предусмотренные законом условия и нарушение интересов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