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НАЛОГОВЫХ ШТРАФОВ И ДОНАЧИСЛЕНИЙ С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Налоговые санкции возникли вследствие неподтверждённых расходов, непредставления отчётности, фиктивного документооборота либо игнорирования требований налогового органа, о которых руководитель был своевременно уведомлён.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