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ВЗЫСКАНИИ УБЫТКОВ С КОНТРОЛИРУЮЩЕГО УЧАСТНИКА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с «___» _________ 20__ года по «___» _________ 20__ года ответчик, осуществляя полномочия руководителя или фактически определяя действия общества, совершил действия (допустил бездействие), не отвечающие обычным условиям делового оборота и интересам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общество понесло имущественные потери в размере [___] руб., включая [реальный ущерб, упущенную выгоду, налоговые санкции, стоимость утраченного имущества, расходы на восстановление документов]. Размер и причинная связь подтверждаются первичными документами, заключением специалиста и движением денежных средств.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53.1 ГК РФ лицо, уполномоченное выступать от имени юридического лица, обязано действовать добросовестно и разумно и возмещает причинённые по его вине убытки. Для ООО специальное основание содержится в статье 44 Закона № 14-ФЗ, для АО – в статье 71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оцениваются конфликт интересов, сокрытие информации, отклонение от обычных условий оборота, отсутствие деловой цели, причинная связь и размер потерь. Обычный предпринимательский риск не образует ответственности сам по себе; ответчик вправе раскрыть разумную деловую мотивацию.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в пользу [общества] убытки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/ иные предусмотренные законом суммы по расчёту, если имеются основания.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