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КОСВЕННЫЙ ИСК УЧАСТНИКА О ВЗЫСКАНИИ УБЫТКОВ С ДИРЕКТОРА В ПОЛЬЗУ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с «___» _________ 20__ года по «___» _________ 20__ года ответчик, осуществляя полномочия руководителя или фактически определяя действия общества, совершил действия (допустил бездействие), не отвечающие обычным условиям делового оборота и интересам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общество понесло имущественные потери в размере [___] руб., включая [реальный ущерб, упущенную выгоду, налоговые санкции, стоимость утраченного имущества, расходы на восстановление документов]. Размер и причинная связь подтверждаются первичными документами, заключением специалиста и движением денежных средств.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статье 53.1 ГК РФ лицо, уполномоченное выступать от имени юридического лица, обязано действовать добросовестно и разумно и возмещает причинённые по его вине убытки. Для ООО специальное основание содержится в статье 44 Закона № 14-ФЗ, для АО – в статье 71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спора оцениваются конфликт интересов, сокрытие информации, отклонение от обычных условий оборота, отсутствие деловой цели, причинная связь и размер потерь. Обычный предпринимательский риск не образует ответственности сам по себе; ответчик вправе раскрыть разумную деловую мотивацию.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в пользу [общества] убытки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проценты / иные предусмотренные законом суммы по расчёту, если имеются основания.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