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ОБЯЗАНИИ БЫВШЕГО ДИРЕКТОРА ПЕРЕДАТЬ ДОКУМЕНТАЦИЮ И ИМУЩЕСТВО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лице, осуществляющем функции единоличного исполнительного органа, оспариваются. Основанием конфликта является решение от «___» _________ 20__ года, принятое [с нарушением порядка созыва / без кворума / на основании поддельного протокола / с превышением компетенции].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неопределённости создаёт риск заключения сделок, распоряжения денежными средствами, изменения электронных доступов и утраты корпоративной документации. Требуется определить законного руководителя и обеспечить передачу дел.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Полномочия единоличного исполнительного органа возникают и прекращаются на основании решения компетентного органа общества и подлежат отражению в ЕГРЮЛ. В ООО применяются статьи 32, 33, 40 и 43 Закона № 14-ФЗ, в АО – соответствующие положения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Лицо, полномочия которого прекращены, обязано передать обществу документацию, имущество и доступы. Публичная достоверность ЕГРЮЛ не легализует корпоративное решение, принятое с существенным нарушением закона.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Обязать ответчика совершить действие: [передать документы / внести запись / предоставить информацию / устранить препятствия] в срок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судебную неустойку в размере [___] руб. за каждый день просрочки исполнения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