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 ВРЕМЕННОМ ЗАПРЕТЕ ДИРЕКТОРУ ОСУЩЕСТВЛЯТЬ ПОЛНОМОЧИЯ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Сведения о лице, осуществляющем функции единоличного исполнительного органа, оспариваются. Основанием конфликта является решение от «___» _________ 20__ года, принятое [с нарушением порядка созыва / без кворума / на основании поддельного протокола / с превышением компетенции].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неопределённости создаёт риск заключения сделок, распоряжения денежными средствами, изменения электронных доступов и утраты корпоративной документации. Требуется определить законного руководителя и обеспечить передачу дел.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Полномочия единоличного исполнительного органа возникают и прекращаются на основании решения компетентного органа общества и подлежат отражению в ЕГРЮЛ. В ООО применяются статьи 32, 33, 40 и 43 Закона № 14-ФЗ, в АО – соответствующие положения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Лицо, полномочия которого прекращены, обязано передать обществу документацию, имущество и доступы. Публичная достоверность ЕГРЮЛ не легализует корпоративное решение, принятое с существенным нарушением закона.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