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ИСК О ПРИЗНАНИИ ОТСУТСТВУЮЩИМИ ПОЛНОМОЧИЙ ЛИЦА, ДЕЙСТВУЮЩЕГО КАК ДИРЕКТОР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Сведения о лице, осуществляющем функции единоличного исполнительного органа, оспариваются. Основанием конфликта является решение от «___» _________ 20__ года, принятое [с нарушением порядка созыва / без кворума / на основании поддельного протокола / с превышением компетенции].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Сохранение неопределённости создаёт риск заключения сделок, распоряжения денежными средствами, изменения электронных доступов и утраты корпоративной документации. Требуется определить законного руководителя и обеспечить передачу дел.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Полномочия единоличного исполнительного органа возникают и прекращаются на основании решения компетентного органа общества и подлежат отражению в ЕГРЮЛ. В ООО применяются статьи 32, 33, 40 и 43 Закона № 14-ФЗ, в АО – соответствующие положения Закона № 208-ФЗ.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Лицо, полномочия которого прекращены, обязано передать обществу документацию, имущество и доступы. Публичная достоверность ЕГРЮЛ не легализует корпоративное решение, принятое с существенным нарушением закона.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Удовлетворить заявленное требование и восстановить нарушенное корпоративное право истца способом, указанным в исковом заявлении.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Обязать ответчика и соответствующий регистрирующий / учётный орган совершить действия, необходимые для фактического исполнения решения.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государственную пошлину и иные судебные расходы.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