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ПРИЗНАНИИ НЕДЕЙСТВИТЕЛЬНЫМ РЕШЕНИЯ О ПРЕКРАЩЕНИИ ПОЛНОМОЧИЙ ДИРЕКТОРА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Сведения о лице, осуществляющем функции единоличного исполнительного органа, оспариваются. Основанием конфликта является решение от «___» _________ 20__ года, принятое [с нарушением порядка созыва / без кворума / на основании поддельного протокола / с превышением компетенции].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Сохранение неопределённости создаёт риск заключения сделок, распоряжения денежными средствами, изменения электронных доступов и утраты корпоративной документации. Требуется определить законного руководителя и обеспечить передачу дел.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Полномочия единоличного исполнительного органа возникают и прекращаются на основании решения компетентного органа общества и подлежат отражению в ЕГРЮЛ. В ООО применяются статьи 32, 33, 40 и 43 Закона № 14-ФЗ, в АО – соответствующие положения Закона № 208-ФЗ.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Лицо, полномочия которого прекращены, обязано передать обществу документацию, имущество и доступы. Публичная достоверность ЕГРЮЛ не легализует корпоративное решение, принятое с существенным нарушением закона.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