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РЕШЕНИЯ О НАЗНАЧЕНИИ ДИРЕКТОРА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Сведения о лице, осуществляющем функции единоличного исполнительного органа, оспариваются. Основанием конфликта является решение от «___» _________ 20__ года, принятое [с нарушением порядка созыва / без кворума / на основании поддельного протокола / с превышением компетенции].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неопределённости создаёт риск заключения сделок, распоряжения денежными средствами, изменения электронных доступов и утраты корпоративной документации. Требуется определить законного руководителя и обеспечить передачу дел.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Полномочия единоличного исполнительного органа возникают и прекращаются на основании решения компетентного органа общества и подлежат отражению в ЕГРЮЛ. В ООО применяются статьи 32, 33, 40 и 43 Закона № 14-ФЗ, в АО – соответствующие положения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Лицо, полномочия которого прекращены, обязано передать обществу документацию, имущество и доступы. Публичная достоверность ЕГРЮЛ не легализует корпоративное решение, принятое с существенным нарушением закона.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