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ЗАЯВЛЕНИЕ О ВЗЫСКАНИИ СУДЕБНОЙ НЕУСТОЙКИ ЗА НЕИСПОЛНЕНИЕ РЕШЕНИЯ СУДА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оценки финансового положения общества и подготовки к участию в управлении заявителю необходимы документы за период с «___» _________ 20__ года по «___» _________ 20__ года. Ранее направленное требование от «___» _________ 20__ года получено обществом, однако исполнено не полностью / оставлено без ответа.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Запрашиваемые материалы относятся к деятельности общества и необходимы для проверки сделок, расчётов с аффилированными лицами, движения денежных средств, действительности решений органов управления и возможного причинения обществу убытков. Требование не направлено на злоупотребление правом или причинение вреда обществу.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Статья 50 Федерального закона № 14-ФЗ и статья 91 Федерального закона № 208-ФЗ закрепляют право участников и акционеров на получение документов и информации с учётом предусмотренных законом условий. Отказ должен быть мотивирован конкретным законным основанием.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неисполнении обязанности в натуре суд вправе присудить судебную неустойку по статье 308.3 ГК РФ. Режим коммерческой тайны сам по себе не устраняет право участника на информацию, но допускает применение разумных мер конфиденциальности.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Удовлетворить настоящее заявление и письменно сообщить заявителю о принятом решении.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Подробный перечень истребуемых документов с указанием периода.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Доказательства отказа, неполного предоставления или уклонения.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