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 НАЛОЖЕНИИ АРЕСТА НА ДОЛЮ УЧАСТНИКА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Между участниками общества возник корпоративный конфликт. По имеющимся сведениям, оппоненты предпринимают действия, способные до рассмотрения спора изменить состав участников, сведения о руководителе, принадлежность активов либо состояние банковских счетов. Риск подтверждается [перепиской, проектами решений, уведомлениями ФНС, выписками, нотариальными документами, сведениями банка].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оперативного закрепления существующего положения исполнение будущего судебного акта может стать невозможным или существенно затруднительным. Запрашиваемая мера непосредственно связана с предметом будущего или уже заявленного требования, носит временный характер и не предрешает исход спора.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90–94 и 99 АПК РФ допускают принятие срочных обеспечительных мер, в том числе до предъявления иска, если непринятие мер затруднит или сделает невозможным исполнение судебного акта либо причинит заявителю значительный ущерб. В корпоративных спорах мера должна быть связана с предметом требования, соразмерна ему и не должна фактически парализовать законную деятельность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Корпоративные споры относятся к специальной категории дел по статьям 225.1–225.9 АПК РФ. Суд вправе запретить органам юридического лица, участникам, регистрирующим органам, держателю реестра и иным лицам совершать конкретные действия, связанные с предметом конфликта.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