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О ПРИМЕНЕНИИ СРОКА ИСКОВОЙ ДАВНОСТИ ПО КОРПОРАТИВНОМУ СПОРУ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настоящее заявление и письменно сообщить заявителю о принятом решении.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