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ОБ ОСПАРИВАНИИ РЕШЕНИЯ, ПРИНЯТОГО ПО ВОПРОСУ ВНЕ ПОВЕСТКИ ДНЯ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года оформлен протокол общего собрания участников № [___], которым принято решение о [содержание решения]. Заявитель с решением не согласен, поскольку при его принятии нарушены требования закона, устава и права заявителя на участие в управлении обществом.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Нарушение является существенным: оно повлияло либо могло повлиять на результаты голосования и повлекло неблагоприятные последствия в виде [смены директора, перераспределения долей, одобрения сделки, ограничения доступа к информации, изменения устава].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Оспариваемый вопрос отсутствовал в заблаговременно направленной повестке. Все участники на собрании не присутствовали, поэтому расширение повестки не допускалось.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Решения собраний регулируются статьями 181.1–181.5 ГК РФ и статьёй 43 Федерального закона № 14-ФЗ. Оспоримое решение может быть признано недействительным при существенном нарушении процедуры и нарушении прав участника; ничтожное решение недействительно независимо от признания судом в предусмотренных законом случаях.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нарушения учитываются влияние голоса заявителя, добросовестность сторон, возможность устранения последствий и наличие самостоятельных оснований ничтожности. Срок обращения и момент, когда участник узнал или должен был узнать о решении, подлежат отдельному обоснованию.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