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40"/>
        <w:ind w:left="4819"/>
        <w:jc w:val="right"/>
      </w:pPr>
      <w:r>
        <w:rPr>
          <w:rFonts w:ascii="Times New Roman" w:hAnsi="Times New Roman" w:eastAsia="Times New Roman"/>
          <w:b w:val="0"/>
          <w:i w:val="0"/>
          <w:sz w:val="20"/>
        </w:rPr>
        <w:t>г. Москва</w:t>
        <w:br/>
        <w:t>«___» __________ 20__ года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МИРОВОЕ СОГЛАШЕНИЕ ПО КОРПОРАТИВНОМУ СПОРУ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[Ф.И.О. / наименование стороны 1], именуемый(ая) «Сторона 1», и [Ф.И.О. / наименование стороны 2], именуемый(ая) «Сторона 2», совместно именуемые «Стороны», заключили настоящий документ о нижеследующем.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1. ПРЕДМЕТ И ЦЕЛИ СОГЛАШЕНИЯ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Стороны прекращают корпоративный спор по делу № А40-[___] на условиях взаимных уступок.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Ответчик обязуется [передать долю / документы / выплатить сумму / отменить решение] в срок [___]. Истец отказывается от остальных требований после надлежащего исполнения.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Стороны просят суд утвердить мировое соглашение и прекратить производство. Последствия утверждения и неисполнения им понятны.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2. ПОРЯДОК ИСПОЛНЕНИЯ И ВЗАИМОДЕЙСТВИЯ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Решения и уведомления направляются по адресам и электронной почте, указанным в реквизитах.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Срок ответа на существенное уведомление составляет [___] рабочих дней.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Документы и информация, полученные в связи с исполнением соглашения, используются только для корпоративных целей.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3. ЗАВЕРЕНИЯ И ГАРАНТИИ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Каждая сторона подтверждает наличие права заключить соглашение и отсутствие скрытых запретов или обременений.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Стороны раскрыли известные им судебные споры, залоги, опционы и иные права третьих лиц.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Недостоверность существенного заверения влечёт возмещение потерь и иные согласованные последствия.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4. ОТВЕТСТВЕННОСТЬ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За нарушение ключевого обязательства виновная сторона уплачивает неустойку [___] руб. / [___] % и возмещает убытки в непокрытой части.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Уплата неустойки не освобождает от исполнения в натуре, если оно остаётся возможным.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Сторона не отвечает за нарушение, вызванное доказанными обстоятельствами непреодолимой силы, при своевременном уведомлении.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5. РАЗРЕШЕНИЕ СПОРОВ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До обращения в суд сторона направляет письменную претензию; срок ответа – [___] рабочих дней.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Споры рассматриваются компетентным арбитражным судом по правилам подведомственности и подсудности.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Применимым правом является право Российской Федерации.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6. ЗАКЛЮЧИТЕЛЬНЫЕ ПОЛОЖЕНИЯ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Изменения действительны в письменной форме и, когда требуется законом, подлежат нотариальному удостоверению.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Недействительность отдельного условия не влечёт недействительность соглашения в целом.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Соглашение составлено в [___] экземплярах, имеющих равную юридическую силу.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7. РЕКВИЗИТЫ И ПОДПИСИ СТОРОН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986"/>
        <w:gridCol w:w="4986"/>
      </w:tblGrid>
      <w:tr>
        <w:trPr>
          <w:cantSplit/>
        </w:trPr>
        <w:tc>
          <w:tcPr>
            <w:tcW w:type="dxa" w:w="4986"/>
            <w:shd w:fill="E9EEF4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r>
              <w:rPr>
                <w:rFonts w:ascii="Times New Roman" w:hAnsi="Times New Roman"/>
                <w:sz w:val="20"/>
              </w:rPr>
              <w:t>Сторона 1</w:t>
            </w:r>
          </w:p>
        </w:tc>
        <w:tc>
          <w:tcPr>
            <w:tcW w:type="dxa" w:w="4986"/>
            <w:shd w:fill="E9EEF4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r>
              <w:rPr>
                <w:rFonts w:ascii="Times New Roman" w:hAnsi="Times New Roman"/>
                <w:sz w:val="20"/>
              </w:rPr>
              <w:t>Сторона 2</w:t>
            </w:r>
          </w:p>
        </w:tc>
      </w:tr>
      <w:tr>
        <w:trPr>
          <w:cantSplit/>
        </w:trPr>
        <w:tc>
          <w:tcPr>
            <w:tcW w:type="dxa" w:w="4986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r>
              <w:rPr>
                <w:rFonts w:ascii="Times New Roman" w:hAnsi="Times New Roman"/>
                <w:sz w:val="20"/>
              </w:rPr>
              <w:t>[Ф.И.О./наименование]</w:t>
              <w:br/>
              <w:t>[адрес, реквизиты]</w:t>
              <w:br/>
              <w:t>____________ /[Ф.И.О.]/</w:t>
            </w:r>
          </w:p>
        </w:tc>
        <w:tc>
          <w:tcPr>
            <w:tcW w:type="dxa" w:w="4986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r>
              <w:rPr>
                <w:rFonts w:ascii="Times New Roman" w:hAnsi="Times New Roman"/>
                <w:sz w:val="20"/>
              </w:rPr>
              <w:t>[Ф.И.О./наименование]</w:t>
              <w:br/>
              <w:t>[адрес, реквизиты]</w:t>
              <w:br/>
              <w:t>____________ /[Ф.И.О.]/</w:t>
            </w:r>
          </w:p>
        </w:tc>
      </w:tr>
    </w:tbl>
    <w:sectPr w:rsidR="00FC693F" w:rsidRPr="0006063C" w:rsidSect="00034616">
      <w:footerReference w:type="default" r:id="rId9"/>
      <w:pgSz w:w="12240" w:h="15840"/>
      <w:pgMar w:top="1020" w:right="1020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Образец документа по корпоративному спору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