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НЕУСТОЙКИ И УБЫТКОВ ЗА НАРУШЕНИЕ КОРПОРАТИВНОГО ДОГОВОРА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намерены заранее урегулировать порядок осуществления корпоративных прав / прекратить возникший спор. Ключевыми вопросами являются голосование, назначение руководителя, финансирование общества, ограничения на отчуждение долей или акций, выход из тупиковой ситуации и ответственность за нарушение договорённостей.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должен толковаться во взаимосвязи с уставом и императивными нормами корпоративного законодательства. Его условия не изменяют структуру органов общества для третьих лиц, но устанавливают обязательства сторон друг перед другом и предусмотренные законом способы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Сторона нарушила согласованный порядок голосования / отчуждения доли / финансирования / назначения органов управления. Нарушение подтверждается протоколом, перепиской и совершённой сделкой.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Корпоративный договор допускается статьёй 67.2 ГК РФ, статьёй 8 Закона № 14-ФЗ и статьёй 32.1 Закона № 208-ФЗ. Его стороны могут согласовать порядок голосования, приобретения и отчуждения долей или акций и иные способы согласованного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Обязательства договора действуют между его сторонами и не должны противоречить императивным нормам или лишать органы общества установленной законом компетенции. Нарушение может повлечь понуждение к исполнению, неустойку, убытки и иные предусмотренные договором и законом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