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ОБ ИСПОЛНЕНИИ КОРПОРАТИВНОГО ДОГОВОРА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намерены заранее урегулировать порядок осуществления корпоративных прав / прекратить возникший спор. Ключевыми вопросами являются голосование, назначение руководителя, финансирование общества, ограничения на отчуждение долей или акций, выход из тупиковой ситуации и ответственность за нарушение договорённостей.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должен толковаться во взаимосвязи с уставом и императивными нормами корпоративного законодательства. Его условия не изменяют структуру органов общества для третьих лиц, но устанавливают обязательства сторон друг перед другом и предусмотренные законом способы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Сторона нарушила согласованный порядок голосования / отчуждения доли / финансирования / назначения органов управления. Нарушение подтверждается протоколом, перепиской и совершённой сделкой.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Корпоративный договор допускается статьёй 67.2 ГК РФ, статьёй 8 Закона № 14-ФЗ и статьёй 32.1 Закона № 208-ФЗ. Его стороны могут согласовать порядок голосования, приобретения и отчуждения долей или акций и иные способы согласованного осуществления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Обязательства договора действуют между его сторонами и не должны противоречить императивным нормам или лишать органы общества установленной законом компетенции. Нарушение может повлечь понуждение к исполнению, неустойку, убытки и иные предусмотренные договором и законом последствия.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