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г. Москва</w:t>
        <w:br/>
        <w:t>«___» __________ 20__ года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АКЦИОНЕРНОЕ СОГЛАШЕНИЕ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 / наименование стороны 1], именуемый(ая) «Сторона 1», и [Ф.И.О. / наименование стороны 2], именуемый(ая) «Сторона 2», совместно именуемые «Стороны», заключили настоящий документ о нижеследующем.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1. ПРЕДМЕТ И ЦЕЛИ СОГЛАШЕНИЯ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Стороны обязуются осуществлять принадлежащие им корпоративные права согласованно в отношении [наименование общества, ОГРН, ИНН].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Настоящий договор регулирует голосование по ключевым вопросам, формирование органов управления, финансирование общества, отчуждение и приобретение долей / акций, порядок раскрытия информации и разрешение тупиковых ситуаций.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 не обязывает органы общества голосовать по указаниям третьих лиц и не изменяет устав для лиц, не являющихся его сторонами.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2. ПОРЯДОК ИСПОЛНЕНИЯ И ВЗАИМОДЕЙСТВИЯ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Решения и уведомления направляются по адресам и электронной почте, указанным в реквизитах.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Срок ответа на существенное уведомление составляет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 и информация, полученные в связи с исполнением соглашения, используются только для корпоративных целей.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подтверждает наличие права заключить соглашение и отсутствие скрытых запретов или обременений.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известные им судебные споры, залоги, опционы и иные права третьих лиц.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Недостоверность существенного заверения влечёт возмещение потерь и иные согласованные последствия.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За нарушение ключевого обязательства виновная сторона уплачивает неустойку [___] руб. / [___] % и возмещает убытки в непокрытой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Уплата неустойки не освобождает от исполнения в натуре, если оно остаётся возможным.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Сторона не отвечает за нарушение, вызванное доказанными обстоятельствами непреодолимой силы, при своевременном уведомлении.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5. РАЗРЕШЕНИЕ СПОРОВ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 обращения в суд сторона направляет письменную претензию; срок ответа –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Споры рассматриваются компетентным арбитражным судом по правилам подведомственности и подсудности.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Применимым правом является право Российской Федерации.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6. ЗАКЛЮЧИТЕЛЬНЫЕ ПОЛОЖЕНИЯ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Изменения действительны в письменной форме и, когда требуется законом, подлежат нотариальному удостоверению.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Недействительность отдельного условия не влечёт недействительность соглашения в целом.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Соглашение составлено в [___] экземплярах, имеющих равную юридическую силу.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7.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cantSplit/>
        </w:trPr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1</w:t>
            </w:r>
          </w:p>
        </w:tc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