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 ПРИЗНАНИИ НЕДЕЙСТВИТЕЛЬНЫМ РЕШЕНИЯ ФНС О ГОСУДАРСТВЕННОЙ РЕГИСТРАЦИИ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Заявителю стало известно о подготовке либо совершении регистрационных действий на основании документов, которые он не подписывал и не одобрял. Изменения касаются [директора, состава участников, размера долей, адреса, устава, реорганизации].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признаки подделки подписи, изготовления фиктивного протокола, использования утраченного ключа электронной подписи либо представления регистрирующему органу заведомо недостоверных сведений. Необходимы срочная фиксация обстоятельств и предотвращение дальнейшего распоряжения активами.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Безвозмездная передача доли оформлена при отсутствии намерения дарителя, с использованием поддельной подписи или для обхода ограничений. Доказательства передачи корпоративных прав и принятия дара противоречивы.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Федеральный закон № 129-ФЗ предусматривает порядок государственной регистрации, внесения сведений о недостоверности, обжалования решений регистрирующего органа и ответственность за представление недостоверных документов.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наличии признаков преступления сообщение подлежит регистрации и проверке по статьям 141–145 УПК РФ. Гражданско-правовые и регистрационные способы защиты могут применяться одновременно с уголовно-процессуальной проверкой, поскольку имеют разные предмет и последствия.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