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ЖАЛОБА В ВЫШЕСТОЯЩИЙ НАЛОГОВЫЙ ОРГАН НА НЕЗАКОННУЮ РЕГИСТРАЦИЮ ИЗМЕНЕНИЙ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настоящее заявление и письменно сообщить заявителю о принятом решении.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