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ОБ ОСПАРИВАНИИ ЦЕНЫ ОБЯЗАТЕЛЬНОГО ВЫКУПА АКЦИЙ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реестре владельцев ценных бумаг / депозитарном учёте отражена операция от «___» _________ 20__ года, в результате которой [акции списаны, запись не внесена, отказано в операции, нарушено преимущественное право, определена спорная цена выкупа].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представил регистратору необходимые документы, однако его право не восстановлено. Нарушение препятствует участию в собрании, получению дивидендов и распоряжению ценными бумагами.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Права на акции учитываются в реестре владельцев ценных бумаг или депозитарии по правилам Федеральных законов № 208-ФЗ и № 39-ФЗ. Регистратор обязан совершать операции при представлении надлежащих документов и вправе отказать только по установленным основаниям.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Споры о списании, восстановлении записи, дополнительном выпуске, выкупе и дивидендах разрешаются с учётом корпоративного законодательства, правил эмиссии и данных учёта. Способ защиты должен восстанавливать как имущественное право, так и возможность участия в управлении.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Выписка по лицевому счёту / счёту депо.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Поручение регистратору и письменный отказ.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Документы об эмиссии, выкупе или распределении дивидендов.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