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ПРЕИМУЩЕСТВЕННОГО ПРАВА ПРИОБРЕТЕНИЯ АКЦИЙ НАРУШЕННЫМ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Участнику не направлялась оферта на условиях, на которых доля фактически отчуждена третьему лицу. Цена, порядок оплаты или дополнительные условия для покупателя оказались более выгодными.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