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НЕЗАКОННЫМ СПИСАНИЯ АКЦИЙ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реестре владельцев ценных бумаг / депозитарном учёте отражена операция от «___» _________ 20__ года, в результате которой [акции списаны, запись не внесена, отказано в операции, нарушено преимущественное право, определена спорная цена выкупа].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представил регистратору необходимые документы, однако его право не восстановлено. Нарушение препятствует участию в собрании, получению дивидендов и распоряжению ценными бумагами.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Права на акции учитываются в реестре владельцев ценных бумаг или депозитарии по правилам Федеральных законов № 208-ФЗ и № 39-ФЗ. Регистратор обязан совершать операции при представлении надлежащих документов и вправе отказать только по установленным основаниям.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Споры о списании, восстановлении записи, дополнительном выпуске, выкупе и дивидендах разрешаются с учётом корпоративного законодательства, правил эмиссии и данных учёта. Способ защиты должен восстанавливать как имущественное право, так и возможность участия в управлении.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заявленное требование и восстановить нарушенное корпоративное право истца способом, указанным в исковом заявлении.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и соответствующий регистрирующий / учётный орган совершить действия, необходимые для фактического исполнения решения.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Выписка по лицевому счёту / счёту депо.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Поручение регистратору и письменный отказ.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об эмиссии, выкупе или распределении дивидендов.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