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ПРЕДЛОЖЕНИЕ О ВЫКУПЕ ДОЛИ ДЛЯ РАЗРЕШЕНИЯ КОРПОРАТИВНОГО ТУПИКА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Длительный конфликт участников препятствует деятельности общества: собрания срываются, решения по обязательным вопросам не принимаются, документация удерживается, исполнение договоров и взаимодействие с банками затруднены. Поведение оппонента выходит за пределы добросовестного осуществления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Предлагаемый способ защиты направлен не на получение необоснованного преимущества, а на восстановление управляемости общества и прекращение действий, делающих его деятельность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Исключение участника является исключительной мерой защиты и допускается статьёй 10 Федерального закона № 14-ФЗ при грубом нарушении обязанностей либо действиях, делающих деятельность общества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10, 65.2 и 67 ГК РФ требуют добросовестного осуществления корпоративных прав. Суд оценивает конкретное поведение каждой стороны, его последствия для общества и возможность устранения конфликта менее жёсткими средствами.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