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ОБЩЕСТВА НА ИСК БЫВШЕГО УЧАСТНИКА О ВЗЫСКАНИИ СТОИМОСТИ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 20__ года участник реализовал право на выход из общества / его доля перешла к обществу. На дату перехода доля составляла [___] % уставного капитала. Общество обязано определить и выплатить действительную стоимость доли на основании данных бухгалтерской отчётности и реальной стоимости активов.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общества не представлен / не учитывает рыночную стоимость недвижимости, оборудования, дебиторской задолженности и иных активов / содержит необоснованные обязательства. Между сторонами возник спор о размере и форме исполнения.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Выход участника и последствия перехода доли к обществу регулируются статьями 23 и 26 Федерального закона № 14-ФЗ. Право на выход зависит от содержания устава и реализуется в нотариальной форме в предусмотренном законом порядке.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Действительная стоимость определяется по данным бухгалтерской отчётности за установленный законом период, однако при споре суд проверяет достоверность учёта и реальную стоимость активов и обязательств. За просрочку денежного исполнения могут начисляться проценты по статье 395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