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ОБ ОСПАРИВАНИИ РАЗМЕРА ДЕЙСТВИТЕЛЬНОЙ СТОИМОСТИ ДОЛИ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 20__ года участник реализовал право на выход из общества / его доля перешла к обществу. На дату перехода доля составляла [___] % уставного капитала. Общество обязано определить и выплатить действительную стоимость доли на основании данных бухгалтерской отчётности и реальной стоимости активов.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Расчёт общества не представлен / не учитывает рыночную стоимость недвижимости, оборудования, дебиторской задолженности и иных активов / содержит необоснованные обязательства. Между сторонами возник спор о размере и форме исполнения.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расчёте необходимо учитывать действительную экономическую стоимость чистых активов, в том числе рыночную стоимость недвижимости, оборудования, финансовых вложений и реальной дебиторской задолженности, а также проверять обоснованность обязательств.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Выход участника и последствия перехода доли к обществу регулируются статьями 23 и 26 Федерального закона № 14-ФЗ. Право на выход зависит от содержания устава и реализуется в нотариальной форме в предусмотренном законом порядке.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Действительная стоимость определяется по данным бухгалтерской отчётности за установленный законом период, однако при споре суд проверяет достоверность учёта и реальную стоимость активов и обязательств. За просрочку денежного исполнения могут начисляться проценты по статье 395 ГК РФ.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недействительным [решение / сделку / регистрационное действие] от «___» _________ 20__ года.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Применить последствия недействительности: восстановить прежнее положение, возвратить имущество / денежные средства, аннулировать записи и корпоративные решения, принятые на основании оспоренного акта.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Документы о приобретении и оплате доли.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Нотариальные документы и регистрационные формы.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Бухгалтерская отчётность и расчёт стоимости чистых активов – при необходимости.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