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ВЗЫСКАНИИ ДЕЙСТВИТЕЛЬНОЙ СТОИМОСТИ ДОЛИ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 20__ года участник реализовал право на выход из общества / его доля перешла к обществу. На дату перехода доля составляла [___] % уставного капитала. Общество обязано определить и выплатить действительную стоимость доли на основании данных бухгалтерской отчётности и реальной стоимости активов.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общества не представлен / не учитывает рыночную стоимость недвижимости, оборудования, дебиторской задолженности и иных активов / содержит необоснованные обязательства. Между сторонами возник спор о размере и форме исполнения.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расчёте необходимо учитывать действительную экономическую стоимость чистых активов, в том числе рыночную стоимость недвижимости, оборудования, финансовых вложений и реальной дебиторской задолженности, а также проверять обоснованность обязательств.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Выход участника и последствия перехода доли к обществу регулируются статьями 23 и 26 Федерального закона № 14-ФЗ. Право на выход зависит от содержания устава и реализуется в нотариальной форме в предусмотренном законом порядке.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Действительная стоимость определяется по данным бухгалтерской отчётности за установленный законом период, однако при споре суд проверяет достоверность учёта и реальную стоимость активов и обязательств. За просрочку денежного исполнения могут начисляться проценты по статье 395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общества действительную стоимость доли в размере [___] руб.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проценты по статье 395 ГК РФ за период с [дата] по день фактического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