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ВЫПЛАТЕ ДЕЙСТВИТЕЛЬНОЙ СТОИМОСТИ ДОЛИ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 20__ года участник реализовал право на выход из общества / его доля перешла к обществу. На дату перехода доля составляла [___] % уставного капитала. Общество обязано определить и выплатить действительную стоимость доли на основании данных бухгалтерской отчётности и реальной стоимости активов.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общества не представлен / не учитывает рыночную стоимость недвижимости, оборудования, дебиторской задолженности и иных активов / содержит необоснованные обязательства. Между сторонами возник спор о размере и форме исполнения.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необходимо учитывать действительную экономическую стоимость чистых активов, в том числе рыночную стоимость недвижимости, оборудования, финансовых вложений и реальной дебиторской задолженности, а также проверять обоснованность обязательств.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Выход участника и последствия перехода доли к обществу регулируются статьями 23 и 26 Федерального закона № 14-ФЗ. Право на выход зависит от содержания устава и реализуется в нотариальной форме в предусмотренном законом порядке.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Действительная стоимость определяется по данным бухгалтерской отчётности за установленный законом период, однако при споре суд проверяет достоверность учёта и реальную стоимость активов и обязательств. За просрочку денежного исполнения могут начисляться проценты по статье 395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