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УЧАСТНИКА О СОЗЫВЕ ВНЕОЧЕРЕДНОГО ОБЩЕГО СОБР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сть корпоративного действия вызвана вопросами, требующими решения общего собрания: [прекращение полномочий директора, утверждение сделки, предоставление документов, изменение устава, распределение прибыли, избрание органов управления]. Инициатор действует в пределах компетенции, предусмотренной уставом и Законом об ООО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исключения последующих споров необходимо соблюсти порядок созыва, сроки уведомления, способ направления материалов, правила регистрации участников, определения кворума и оформления итогов голосования. В документе предусмотрены поля для отражения этих обстоятель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32–37 Федерального закона № 14-ФЗ регулируют компетенцию, созыв, проведение и оформление решений общего собрания участников ООО. Устав может конкретизировать порядок, но не вправе лишать участника установленных законом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65.2 и 67.1 ГК РФ закрепляют право участника участвовать в управлении корпорацией и требования к подтверждению решений. Соблюдение порядка уведомления, кворума, голосования и удостоверения решения снижает риск его последующего оспарива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