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Руководитель Управления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В ВЫШЕСТОЯЩИЙ ФЕДЕРАЛЬНЫЙ КОНТРОЛЬНЫЙ ОРГАН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незаконность решения, действий инспектора и предписания, вынесенных по итогам внепланового мероприятия.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акт и предписание через личный кабинет контролируемого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Возражения, заявленные при проверке, в акте не отражены и по существу не рассмотрены.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 возлагает обязанности, не связанные с предметом первоначальной жалобы потребителя.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Использовать обязательный либо предусмотренный законом досудебный порядок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приостановить исполнение спорного предписания до рассмотрения жалобы.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полный комплект цифровых доказательств и хронологию нарушений.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в вышестоящий федеральный контрольный орган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