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Руководитель Управления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ПОЯСНЕНИЯ ПО ЗАПРОСУ ОРГАНА, РАССМАТРИВАЮЩЕГО ЖАЛОБУ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незаконность решения, действий инспектора и предписания, вынесенных по итогам внепланового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акт и предписание через личный кабинет контролируемого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Возражения, заявленные при проверке, в акте не отражены и по существу не рассмотрены.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 возлагает обязанности, не связанные с предметом первоначальной жалобы потребителя.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незаконность решения, действий инспектора и предписания, вынесенных по итогам внепланового мероприятия.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Использовать обязательный либо предусмотренный законом досудебный порядок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приостановить исполнение спорного предписания до рассмотрения жалобы.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полный комплект цифровых доказательств и хронологию нарушений.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по запросу органа, рассматривающего жалобу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