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Руководитель Управления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ЖАЛОБА НА ПРЕДПИСАНИЕ ОБ УСТРАНЕНИИ НАРУШЕНИЙ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незаконность решения, действий инспектора и предписания, вынесенных по итогам внепланового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получила акт и предписание через личный кабинет контролируемого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Возражения, заявленные при проверке, в акте не отражены и по существу не рассмотрены.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 возлагает обязанности, не связанные с предметом первоначальной жалобы потребителя.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Предписание должно содержать ясное, законное и исполнимое требование, относящееся к компетенции органа и фактам конкретного мероприятия.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Обжалование строится одновременно на материальных возражениях и существенных процедурных нарушениях, повлиявших на результат.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Использовать обязательный либо предусмотренный законом досудебный порядок обжалования.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Просить приостановить исполнение спорного предписания до рассмотрения жалобы.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полный комплект цифровых доказательств и хронологию нарушений.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Решение о проверке.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Карточка ЕРКНМ.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устранения недостатков.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предписание об устранении нарушений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