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ДЕЛУ О НАРУШЕНИИ ПОРЯДКА РАБОТЫ С НАЛИЧНЫМИ ДЕНЕЖНЫМИ СРЕДСТВАМИ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Расхождение по кассе возникло в одном обособленном подразделении и было исправлено в день внутренней сверки; требуется установить субъект и фактический размер нарушения.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делу о нарушении порядка работы с наличными денежными средствами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