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ХОДАТАЙСТВО О ПРИМЕНЕНИИ СПЕЦИАЛЬНЫХ ПРАВИЛ ОТВЕТСТВЕННОСТИ СУБЪЕКТОВ МАЛОГО ПРЕДПРИНИМАТЕЛЬСТВА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совершение правонарушения, предусмотренного частью 2 статьи 14.8 КоАП РФ.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Административное дело назначено к рассмотрению должностным лицом Управления.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материалах имеется протокол, акт проверки и копия типового договора, однако отсутствует подписанный договор с конкретным потребителем.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рассмотрения организация изменила спорную форму договора и уведомила покупателей о новом порядке возврата денежных средств.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Организация включена в единый реестр субъектов малого и среднего предпринимательства и просит применить специальные правила назначения наказания при наличии законных условий.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20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Настаивать на презумпции невиновности и обязанности органа доказать все элементы состава.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Заявить о недопустимости материалов, полученных с нарушением порядка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альтернативной позиции просить учесть добровольное устранение, отсутствие вреда и впервые совершенное нарушение.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Письменная позиция.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редакция договора.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об изменении формы договора.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Уведомления покупателям.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об отсутствии повторных нарушений.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Выписка из единого реестра субъектов МСП.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Письменная позиция.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редакция договора.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об изменении формы договора.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Уведомления покупателям.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об отсутствии повторных нарушений.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Выписка из единого реестра субъектов МСП.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применении специальных правил ответственности субъектов малого предпринимательства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