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НАЗНАЧЕНИИ НАКАЗАНИЯ НИЖЕ НИЗШЕГО ПРЕДЕЛ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уемые сведения и действия инспектора должны иметь прямую связь с предметом и периодом контрольного мероприятия; запрос всей хозяйственной документации за несколько лет является несоразмерны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енное положение, характер нарушения и совокупность исключительных смягчающих обстоятельств делают минимальный штраф явно несоразмерным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административный штраф ниже низшего предела в допускаемом законом размер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честь исключительные обстоятельства и имущественное полож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менять более строгое наказа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наказания ниже низшего предел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