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ПРЕКРАЩЕНИИ ДЕЛА В СВЯЗИ С МАЛОЗНАЧИТЕЛЬНОСТЬЮ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совершение правонарушения, предусмотренного частью 2 статьи 14.8 КоАП РФ.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Административное дело назначено к рассмотрению должностным лицом Управления.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материалах имеется протокол, акт проверки и копия типового договора, однако отсутствует подписанный договор с конкретным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рассмотрения организация изменила спорную форму договора и уведомила покупателей о новом порядке возврата денежных средств.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Формальные признаки нарушения не повлекли вреда, угрозы либо ограничения прав, а недостаток устранен до рассмотрения дела.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Настаивать на презумпции невиновности и обязанности органа доказать все элементы состава.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Заявить о недопустимости материалов, полученных с нарушением порядка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альтернативной позиции просить учесть добровольное устранение, отсутствие вреда и впервые совершенное нарушение.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Справка об отсутствии повторных нарушений.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добровольного устранения.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по делу.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Исключить применение административного наказания.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Выдать копию решения представителю организации.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Справка об отсутствии повторных нарушений.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добровольного устранения.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прекращении дела в связи с малозначительностью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