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ПРАВОВОЕ ЗАКЛЮЧЕНИЕ О РИСКАХ ПРОВЕДЕНИЯ ГОСУДАРСТВЕННОГО КОНТРОЛЯ В ОТНОШЕНИИ ОРГАНИЗАЦИИ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«Вектор Трейд» в связи с необходимостью оценить административные риски и подготовить организацию к взаимодействию с контрольными органами. Предмет анализа: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распределительный склад и офис площадью 2 480 кв. м.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осуществляет оптовую торговлю товарами для дома и хранение продукции на собственном распределительном складе.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2025–2026 годах отдельные обязательные требования изменялись, однако внутренний реестр требований и порядок контроля их исполнения не обновлялись.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информационных системах выявлены сведения о возможном профилактическом либо контрольном мероприятии в отношении склада.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КМ-2026/0417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«распределительный склад и офис площадью 2 480 кв. м».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контрольного мероприятия провести инвентаризацию обязательных требований и подтвердить ответственное исполнение обязанностей.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предоставление избыточных документов, не относящихся к предмету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Фиксировать все действия должностных лиц и своевременно заявлять письменные 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Выписка из ЕГРЮЛ.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Правоустанавливающие документы на объект.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Лицензии и уведомления.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Локальные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внутреннего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«Вектор Трейд» ____________ / Орлов Дмитрий Сергеевич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Правовое заключение о рисках проведения государственного контроля в отношении организации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